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C2A04" w14:textId="77777777" w:rsidR="000C5533" w:rsidRPr="006A0A54" w:rsidRDefault="00E90B83" w:rsidP="000C5533">
      <w:pPr>
        <w:jc w:val="center"/>
        <w:rPr>
          <w:rFonts w:ascii="Arial" w:hAnsi="Arial" w:cs="Arial"/>
          <w:b/>
          <w:sz w:val="16"/>
          <w:szCs w:val="16"/>
        </w:rPr>
      </w:pPr>
      <w:r>
        <w:rPr>
          <w:noProof/>
        </w:rPr>
        <w:drawing>
          <wp:inline distT="0" distB="0" distL="0" distR="0" wp14:anchorId="5536A28D" wp14:editId="2C06CF98">
            <wp:extent cx="2085975" cy="1266825"/>
            <wp:effectExtent l="0" t="0" r="9525" b="9525"/>
            <wp:docPr id="1" name="Picture 1" descr="PRB-14701-Harbor-HS-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B-14701-Harbor-HS-LOGO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975" cy="1266825"/>
                    </a:xfrm>
                    <a:prstGeom prst="rect">
                      <a:avLst/>
                    </a:prstGeom>
                    <a:noFill/>
                    <a:ln>
                      <a:noFill/>
                    </a:ln>
                  </pic:spPr>
                </pic:pic>
              </a:graphicData>
            </a:graphic>
          </wp:inline>
        </w:drawing>
      </w:r>
    </w:p>
    <w:p w14:paraId="1564CF72" w14:textId="315F430B" w:rsidR="000C5533" w:rsidRPr="003B2D48" w:rsidRDefault="000C5533" w:rsidP="000C5533">
      <w:pPr>
        <w:rPr>
          <w:rFonts w:ascii="Arial" w:hAnsi="Arial" w:cs="Arial"/>
          <w:b/>
          <w:sz w:val="18"/>
          <w:szCs w:val="18"/>
        </w:rPr>
      </w:pPr>
    </w:p>
    <w:p w14:paraId="097CBA29" w14:textId="1A67BE51" w:rsidR="00D7541C" w:rsidRDefault="00383B45" w:rsidP="00383B45">
      <w:pPr>
        <w:jc w:val="right"/>
        <w:rPr>
          <w:rFonts w:ascii="Arial" w:hAnsi="Arial" w:cs="Arial"/>
          <w:b/>
          <w:sz w:val="18"/>
          <w:szCs w:val="18"/>
        </w:rPr>
      </w:pPr>
      <w:r>
        <w:rPr>
          <w:rFonts w:ascii="Arial" w:hAnsi="Arial" w:cs="Arial"/>
          <w:b/>
          <w:sz w:val="18"/>
          <w:szCs w:val="18"/>
        </w:rPr>
        <w:t>Policy No. 3631</w:t>
      </w:r>
    </w:p>
    <w:p w14:paraId="18FCEDB0" w14:textId="3A373E9F" w:rsidR="00383B45" w:rsidRDefault="00383B45" w:rsidP="00383B45">
      <w:pPr>
        <w:jc w:val="right"/>
        <w:rPr>
          <w:rFonts w:ascii="Arial" w:hAnsi="Arial" w:cs="Arial"/>
          <w:b/>
          <w:sz w:val="18"/>
          <w:szCs w:val="18"/>
        </w:rPr>
      </w:pPr>
    </w:p>
    <w:p w14:paraId="746A30C0" w14:textId="2D032E1C" w:rsidR="00383B45" w:rsidRDefault="00383B45" w:rsidP="00383B45">
      <w:pPr>
        <w:jc w:val="center"/>
        <w:rPr>
          <w:rFonts w:ascii="Arial" w:hAnsi="Arial" w:cs="Arial"/>
          <w:b/>
          <w:sz w:val="22"/>
          <w:szCs w:val="22"/>
        </w:rPr>
      </w:pPr>
      <w:r w:rsidRPr="00383B45">
        <w:rPr>
          <w:rFonts w:ascii="Arial" w:hAnsi="Arial" w:cs="Arial"/>
          <w:b/>
          <w:sz w:val="22"/>
          <w:szCs w:val="22"/>
        </w:rPr>
        <w:t>Canton Harbor High School Career Advising Policy</w:t>
      </w:r>
    </w:p>
    <w:p w14:paraId="6E0CB410" w14:textId="1ABB8C7B" w:rsidR="009D528D" w:rsidRPr="009D528D" w:rsidRDefault="009D528D" w:rsidP="00383B45">
      <w:pPr>
        <w:jc w:val="center"/>
        <w:rPr>
          <w:rFonts w:ascii="Arial" w:hAnsi="Arial" w:cs="Arial"/>
          <w:sz w:val="22"/>
          <w:szCs w:val="22"/>
        </w:rPr>
      </w:pPr>
      <w:r w:rsidRPr="009D528D">
        <w:rPr>
          <w:rFonts w:ascii="Arial" w:hAnsi="Arial" w:cs="Arial"/>
          <w:sz w:val="22"/>
          <w:szCs w:val="22"/>
        </w:rPr>
        <w:t>Updated 9/11/2024</w:t>
      </w:r>
    </w:p>
    <w:p w14:paraId="2C70B733" w14:textId="7B30E642" w:rsidR="00383B45" w:rsidRDefault="00383B45" w:rsidP="00383B45">
      <w:pPr>
        <w:jc w:val="center"/>
        <w:rPr>
          <w:rFonts w:ascii="Arial" w:hAnsi="Arial" w:cs="Arial"/>
          <w:b/>
          <w:sz w:val="22"/>
          <w:szCs w:val="22"/>
        </w:rPr>
      </w:pPr>
    </w:p>
    <w:p w14:paraId="165F2EF1" w14:textId="48F4074A" w:rsidR="00383B45" w:rsidRDefault="00383B45" w:rsidP="00383B45">
      <w:pPr>
        <w:rPr>
          <w:rFonts w:ascii="Arial" w:hAnsi="Arial" w:cs="Arial"/>
          <w:sz w:val="22"/>
          <w:szCs w:val="22"/>
        </w:rPr>
      </w:pPr>
      <w:r>
        <w:t>This policy on career advising is reviewed at least once every two years and made available to students, parents, guardians and custodians, local post-secondary institutions and district residents. The policy is posted in a prominent location on the Canton Harbor High School website.</w:t>
      </w:r>
    </w:p>
    <w:p w14:paraId="54C883AA" w14:textId="2B6FEC2C" w:rsidR="00383B45" w:rsidRDefault="00383B45" w:rsidP="00383B45">
      <w:pPr>
        <w:rPr>
          <w:rFonts w:ascii="Arial" w:hAnsi="Arial" w:cs="Arial"/>
          <w:sz w:val="22"/>
          <w:szCs w:val="22"/>
        </w:rPr>
      </w:pPr>
    </w:p>
    <w:p w14:paraId="7FC41E89" w14:textId="0CF17AAB" w:rsidR="00383B45" w:rsidRDefault="00383B45" w:rsidP="00383B45">
      <w:r>
        <w:t>The district’s plan for career advising includes, providing:</w:t>
      </w:r>
    </w:p>
    <w:p w14:paraId="26FBBAE1" w14:textId="77777777" w:rsidR="00383B45" w:rsidRDefault="00383B45" w:rsidP="00383B45"/>
    <w:p w14:paraId="0F5C1200" w14:textId="5E4848FC" w:rsidR="00383B45" w:rsidRPr="00383B45" w:rsidRDefault="00383B45" w:rsidP="00383B45">
      <w:pPr>
        <w:pStyle w:val="ListParagraph"/>
        <w:numPr>
          <w:ilvl w:val="0"/>
          <w:numId w:val="3"/>
        </w:numPr>
        <w:rPr>
          <w:rFonts w:ascii="Arial" w:hAnsi="Arial" w:cs="Arial"/>
          <w:sz w:val="22"/>
          <w:szCs w:val="22"/>
        </w:rPr>
      </w:pPr>
      <w:r>
        <w:t>Grade-level examples that link students' schoolwork to one or more career fields by implementing the Career Connections Learning Strategies offered by the Ohio Department of Education.</w:t>
      </w:r>
      <w:bookmarkStart w:id="0" w:name="_GoBack"/>
      <w:bookmarkEnd w:id="0"/>
    </w:p>
    <w:p w14:paraId="1624D8F2" w14:textId="77777777" w:rsidR="00383B45" w:rsidRPr="00383B45" w:rsidRDefault="00383B45" w:rsidP="00383B45">
      <w:pPr>
        <w:pStyle w:val="ListParagraph"/>
        <w:rPr>
          <w:rFonts w:ascii="Arial" w:hAnsi="Arial" w:cs="Arial"/>
          <w:sz w:val="22"/>
          <w:szCs w:val="22"/>
        </w:rPr>
      </w:pPr>
    </w:p>
    <w:p w14:paraId="6F9F457E" w14:textId="1EA376E3" w:rsidR="00383B45" w:rsidRPr="00383B45" w:rsidRDefault="00383B45" w:rsidP="00383B45">
      <w:pPr>
        <w:pStyle w:val="ListParagraph"/>
        <w:numPr>
          <w:ilvl w:val="0"/>
          <w:numId w:val="3"/>
        </w:numPr>
        <w:rPr>
          <w:rFonts w:ascii="Arial" w:hAnsi="Arial" w:cs="Arial"/>
          <w:sz w:val="22"/>
          <w:szCs w:val="22"/>
        </w:rPr>
      </w:pPr>
      <w:r>
        <w:t>Career advising to students in grades 6-12, which includes meeting with each student at least once annually to create and or update academic and career pathway opportunities.</w:t>
      </w:r>
    </w:p>
    <w:p w14:paraId="30813375" w14:textId="77777777" w:rsidR="00383B45" w:rsidRPr="00383B45" w:rsidRDefault="00383B45" w:rsidP="00383B45">
      <w:pPr>
        <w:pStyle w:val="ListParagraph"/>
        <w:rPr>
          <w:rFonts w:ascii="Arial" w:hAnsi="Arial" w:cs="Arial"/>
          <w:sz w:val="22"/>
          <w:szCs w:val="22"/>
        </w:rPr>
      </w:pPr>
    </w:p>
    <w:p w14:paraId="00149412" w14:textId="0C48D134" w:rsidR="00383B45" w:rsidRPr="00383B45" w:rsidRDefault="00383B45" w:rsidP="00383B45">
      <w:pPr>
        <w:pStyle w:val="ListParagraph"/>
        <w:numPr>
          <w:ilvl w:val="0"/>
          <w:numId w:val="3"/>
        </w:numPr>
        <w:rPr>
          <w:rFonts w:ascii="Arial" w:hAnsi="Arial" w:cs="Arial"/>
          <w:sz w:val="22"/>
          <w:szCs w:val="22"/>
        </w:rPr>
      </w:pPr>
      <w:r>
        <w:t>Additional interventions and career advising for students who are identified as at risk of dropping out of school. These include:</w:t>
      </w:r>
    </w:p>
    <w:p w14:paraId="516C55D2" w14:textId="77777777" w:rsidR="00383B45" w:rsidRPr="00383B45" w:rsidRDefault="00383B45" w:rsidP="00383B45">
      <w:pPr>
        <w:pStyle w:val="ListParagraph"/>
        <w:rPr>
          <w:rFonts w:ascii="Arial" w:hAnsi="Arial" w:cs="Arial"/>
          <w:sz w:val="22"/>
          <w:szCs w:val="22"/>
        </w:rPr>
      </w:pPr>
    </w:p>
    <w:p w14:paraId="608E62AC" w14:textId="2DF3FD1D" w:rsidR="00383B45" w:rsidRPr="00383B45" w:rsidRDefault="00383B45" w:rsidP="00383B45">
      <w:pPr>
        <w:pStyle w:val="ListParagraph"/>
        <w:numPr>
          <w:ilvl w:val="1"/>
          <w:numId w:val="3"/>
        </w:numPr>
        <w:rPr>
          <w:rFonts w:ascii="Arial" w:hAnsi="Arial" w:cs="Arial"/>
          <w:sz w:val="22"/>
          <w:szCs w:val="22"/>
        </w:rPr>
      </w:pPr>
      <w:r>
        <w:t>Identifying students who are at risk of dropping out of school using a local, research-based method with input from teachers, school counselors and other appropriate school staff.</w:t>
      </w:r>
    </w:p>
    <w:p w14:paraId="04420DBE" w14:textId="77777777" w:rsidR="00383B45" w:rsidRPr="00383B45" w:rsidRDefault="00383B45" w:rsidP="00383B45">
      <w:pPr>
        <w:pStyle w:val="ListParagraph"/>
        <w:ind w:left="1440"/>
        <w:rPr>
          <w:rFonts w:ascii="Arial" w:hAnsi="Arial" w:cs="Arial"/>
          <w:sz w:val="22"/>
          <w:szCs w:val="22"/>
        </w:rPr>
      </w:pPr>
    </w:p>
    <w:p w14:paraId="146415C0" w14:textId="5126DBE2" w:rsidR="00383B45" w:rsidRPr="00383B45" w:rsidRDefault="00383B45" w:rsidP="00383B45">
      <w:pPr>
        <w:pStyle w:val="ListParagraph"/>
        <w:numPr>
          <w:ilvl w:val="1"/>
          <w:numId w:val="3"/>
        </w:numPr>
        <w:rPr>
          <w:rFonts w:ascii="Arial" w:hAnsi="Arial" w:cs="Arial"/>
          <w:sz w:val="22"/>
          <w:szCs w:val="22"/>
        </w:rPr>
      </w:pPr>
      <w:r>
        <w:t xml:space="preserve">Developing a </w:t>
      </w:r>
      <w:r w:rsidR="009D528D">
        <w:t>College and Career Success pl</w:t>
      </w:r>
      <w:r>
        <w:t>an for each at-risk student that addresses both the student's academic and career pathway to successful graduation and the role of career-technical education, competency-based education and experiential learning, when appropriate.</w:t>
      </w:r>
    </w:p>
    <w:p w14:paraId="48B9BFA5" w14:textId="77777777" w:rsidR="00383B45" w:rsidRPr="00383B45" w:rsidRDefault="00383B45" w:rsidP="00383B45">
      <w:pPr>
        <w:pStyle w:val="ListParagraph"/>
        <w:rPr>
          <w:rFonts w:ascii="Arial" w:hAnsi="Arial" w:cs="Arial"/>
          <w:sz w:val="22"/>
          <w:szCs w:val="22"/>
        </w:rPr>
      </w:pPr>
    </w:p>
    <w:p w14:paraId="6282A325" w14:textId="198B9FF4" w:rsidR="00383B45" w:rsidRPr="00383B45" w:rsidRDefault="009D528D" w:rsidP="00383B45">
      <w:pPr>
        <w:pStyle w:val="ListParagraph"/>
        <w:numPr>
          <w:ilvl w:val="2"/>
          <w:numId w:val="3"/>
        </w:numPr>
        <w:rPr>
          <w:rFonts w:ascii="Arial" w:hAnsi="Arial" w:cs="Arial"/>
          <w:sz w:val="22"/>
          <w:szCs w:val="22"/>
        </w:rPr>
      </w:pPr>
      <w:r>
        <w:t>Before a district develops</w:t>
      </w:r>
      <w:r w:rsidR="00383B45">
        <w:t xml:space="preserve"> a pupil's Student Success Plan, district staff will invite the student's parent, guardian or custodian to assist. If that adult does not participate in the plan development, the district will provide the adult a copy of the plan, a statement of the importance of a high school diploma and a listing of the pathways to graduation available to the student.</w:t>
      </w:r>
    </w:p>
    <w:p w14:paraId="5191339C" w14:textId="77777777" w:rsidR="00383B45" w:rsidRPr="00383B45" w:rsidRDefault="00383B45" w:rsidP="00383B45">
      <w:pPr>
        <w:pStyle w:val="ListParagraph"/>
        <w:ind w:left="2160"/>
        <w:rPr>
          <w:rFonts w:ascii="Arial" w:hAnsi="Arial" w:cs="Arial"/>
          <w:sz w:val="22"/>
          <w:szCs w:val="22"/>
        </w:rPr>
      </w:pPr>
    </w:p>
    <w:p w14:paraId="4FE6A0F7" w14:textId="50A765AA" w:rsidR="00383B45" w:rsidRPr="00383B45" w:rsidRDefault="00383B45" w:rsidP="00383B45">
      <w:pPr>
        <w:pStyle w:val="ListParagraph"/>
        <w:numPr>
          <w:ilvl w:val="0"/>
          <w:numId w:val="3"/>
        </w:numPr>
        <w:rPr>
          <w:rFonts w:ascii="Arial" w:hAnsi="Arial" w:cs="Arial"/>
          <w:sz w:val="22"/>
          <w:szCs w:val="22"/>
        </w:rPr>
      </w:pPr>
      <w:r>
        <w:t>Training for employees on how to advise students on career pathways, including use of the tools available in Ohio Means Jobs K-12 and other online sources provided by the district.</w:t>
      </w:r>
    </w:p>
    <w:p w14:paraId="40F4068C" w14:textId="77777777" w:rsidR="00383B45" w:rsidRPr="00383B45" w:rsidRDefault="00383B45" w:rsidP="00383B45">
      <w:pPr>
        <w:pStyle w:val="ListParagraph"/>
        <w:rPr>
          <w:rFonts w:ascii="Arial" w:hAnsi="Arial" w:cs="Arial"/>
          <w:sz w:val="22"/>
          <w:szCs w:val="22"/>
        </w:rPr>
      </w:pPr>
    </w:p>
    <w:p w14:paraId="576BD176" w14:textId="744BC81B" w:rsidR="00383B45" w:rsidRPr="00383B45" w:rsidRDefault="00383B45" w:rsidP="00383B45">
      <w:pPr>
        <w:pStyle w:val="ListParagraph"/>
        <w:numPr>
          <w:ilvl w:val="0"/>
          <w:numId w:val="3"/>
        </w:numPr>
        <w:rPr>
          <w:rFonts w:ascii="Arial" w:hAnsi="Arial" w:cs="Arial"/>
          <w:sz w:val="22"/>
          <w:szCs w:val="22"/>
        </w:rPr>
      </w:pPr>
      <w:r>
        <w:lastRenderedPageBreak/>
        <w:t>Multiple academic and career pathways through high school that students may choose to earn a high school diploma, including opportunities to explore, shadow, intern, volunteer, or work-placement in multiple career fields of their interest.</w:t>
      </w:r>
    </w:p>
    <w:p w14:paraId="6F182C53" w14:textId="77777777" w:rsidR="00383B45" w:rsidRPr="00383B45" w:rsidRDefault="00383B45" w:rsidP="00383B45">
      <w:pPr>
        <w:pStyle w:val="ListParagraph"/>
        <w:rPr>
          <w:rFonts w:ascii="Arial" w:hAnsi="Arial" w:cs="Arial"/>
          <w:sz w:val="22"/>
          <w:szCs w:val="22"/>
        </w:rPr>
      </w:pPr>
    </w:p>
    <w:p w14:paraId="1A489F69" w14:textId="0FB5FC07" w:rsidR="00383B45" w:rsidRPr="00383B45" w:rsidRDefault="00383B45" w:rsidP="00383B45">
      <w:pPr>
        <w:pStyle w:val="ListParagraph"/>
        <w:numPr>
          <w:ilvl w:val="0"/>
          <w:numId w:val="3"/>
        </w:numPr>
        <w:rPr>
          <w:rFonts w:ascii="Arial" w:hAnsi="Arial" w:cs="Arial"/>
          <w:sz w:val="22"/>
          <w:szCs w:val="22"/>
        </w:rPr>
      </w:pPr>
      <w:r>
        <w:t>Information on courses that can award students both traditional academic and career-technical credit including, but not limited to, the District's policy on credit flexibility and instructions for students to access the educational option.</w:t>
      </w:r>
    </w:p>
    <w:p w14:paraId="2CFCDEB1" w14:textId="77777777" w:rsidR="00383B45" w:rsidRPr="00383B45" w:rsidRDefault="00383B45" w:rsidP="00383B45">
      <w:pPr>
        <w:pStyle w:val="ListParagraph"/>
        <w:rPr>
          <w:rFonts w:ascii="Arial" w:hAnsi="Arial" w:cs="Arial"/>
          <w:sz w:val="22"/>
          <w:szCs w:val="22"/>
        </w:rPr>
      </w:pPr>
    </w:p>
    <w:p w14:paraId="5392420D" w14:textId="02F254DA" w:rsidR="00383B45" w:rsidRPr="00383B45" w:rsidRDefault="00383B45" w:rsidP="00383B45">
      <w:pPr>
        <w:pStyle w:val="ListParagraph"/>
        <w:numPr>
          <w:ilvl w:val="0"/>
          <w:numId w:val="3"/>
        </w:numPr>
        <w:rPr>
          <w:rFonts w:ascii="Arial" w:hAnsi="Arial" w:cs="Arial"/>
          <w:sz w:val="22"/>
          <w:szCs w:val="22"/>
        </w:rPr>
      </w:pPr>
      <w:r>
        <w:t>Documentation on career advising for each student and student's parent, guardian or custodian to review, as well as schools that the student may attend in the future. These include activities that support the student's academic, career and social/emotional development.</w:t>
      </w:r>
    </w:p>
    <w:p w14:paraId="1870CE18" w14:textId="77777777" w:rsidR="00383B45" w:rsidRPr="00383B45" w:rsidRDefault="00383B45" w:rsidP="00383B45">
      <w:pPr>
        <w:pStyle w:val="ListParagraph"/>
        <w:rPr>
          <w:rFonts w:ascii="Arial" w:hAnsi="Arial" w:cs="Arial"/>
          <w:sz w:val="22"/>
          <w:szCs w:val="22"/>
        </w:rPr>
      </w:pPr>
    </w:p>
    <w:p w14:paraId="25ADD27D" w14:textId="146F5843" w:rsidR="00383B45" w:rsidRPr="00383B45" w:rsidRDefault="00383B45" w:rsidP="00383B45">
      <w:pPr>
        <w:pStyle w:val="ListParagraph"/>
        <w:numPr>
          <w:ilvl w:val="0"/>
          <w:numId w:val="3"/>
        </w:numPr>
        <w:rPr>
          <w:rFonts w:ascii="Arial" w:hAnsi="Arial" w:cs="Arial"/>
          <w:sz w:val="22"/>
          <w:szCs w:val="22"/>
        </w:rPr>
      </w:pPr>
      <w:r>
        <w:t>The supports necessary for students to successfully transition from high school to their postsecondary destinations, including interventions and services necessary for students who need remediation in mathematics and English language arts.</w:t>
      </w:r>
    </w:p>
    <w:p w14:paraId="3D508887" w14:textId="77777777" w:rsidR="00383B45" w:rsidRPr="00383B45" w:rsidRDefault="00383B45" w:rsidP="00383B45">
      <w:pPr>
        <w:pStyle w:val="ListParagraph"/>
        <w:rPr>
          <w:rFonts w:ascii="Arial" w:hAnsi="Arial" w:cs="Arial"/>
          <w:sz w:val="22"/>
          <w:szCs w:val="22"/>
        </w:rPr>
      </w:pPr>
    </w:p>
    <w:p w14:paraId="4C4FFA75" w14:textId="729C99A3" w:rsidR="00423BC7" w:rsidRPr="00423BC7" w:rsidRDefault="00383B45" w:rsidP="00423BC7">
      <w:pPr>
        <w:pStyle w:val="ListParagraph"/>
        <w:numPr>
          <w:ilvl w:val="0"/>
          <w:numId w:val="3"/>
        </w:numPr>
        <w:rPr>
          <w:rFonts w:ascii="Arial" w:hAnsi="Arial" w:cs="Arial"/>
          <w:sz w:val="22"/>
          <w:szCs w:val="22"/>
        </w:rPr>
      </w:pPr>
      <w:r>
        <w:t>See Career Based Intervention Course of Study, Unit 1: Postsecondary and Career Preparation.</w:t>
      </w:r>
    </w:p>
    <w:p w14:paraId="7CBEE9FD" w14:textId="40FE5341" w:rsidR="00423BC7" w:rsidRPr="00423BC7" w:rsidRDefault="00423BC7" w:rsidP="00423BC7">
      <w:pPr>
        <w:rPr>
          <w:rFonts w:ascii="Arial" w:hAnsi="Arial" w:cs="Arial"/>
          <w:sz w:val="22"/>
          <w:szCs w:val="22"/>
        </w:rPr>
      </w:pPr>
    </w:p>
    <w:p w14:paraId="46396B13" w14:textId="6B8FEB83" w:rsidR="00423BC7" w:rsidRPr="00423BC7" w:rsidRDefault="00423BC7" w:rsidP="00423BC7">
      <w:pPr>
        <w:pStyle w:val="NormalWeb"/>
        <w:numPr>
          <w:ilvl w:val="0"/>
          <w:numId w:val="3"/>
        </w:numPr>
        <w:shd w:val="clear" w:color="auto" w:fill="FFFFFF"/>
        <w:spacing w:before="0" w:beforeAutospacing="0"/>
        <w:ind w:left="810" w:hanging="450"/>
        <w:rPr>
          <w:szCs w:val="23"/>
        </w:rPr>
      </w:pPr>
      <w:r w:rsidRPr="00423BC7">
        <w:rPr>
          <w:szCs w:val="23"/>
        </w:rPr>
        <w:t>Provide students with information about ways a student may offset the costs of a post-secondary education, including programs such as all of the following:</w:t>
      </w:r>
    </w:p>
    <w:p w14:paraId="23CD9E7B" w14:textId="77777777" w:rsidR="00423BC7" w:rsidRPr="00423BC7" w:rsidRDefault="00423BC7" w:rsidP="00423BC7">
      <w:pPr>
        <w:pStyle w:val="NormalWeb"/>
        <w:numPr>
          <w:ilvl w:val="1"/>
          <w:numId w:val="3"/>
        </w:numPr>
        <w:shd w:val="clear" w:color="auto" w:fill="FFFFFF"/>
        <w:rPr>
          <w:szCs w:val="23"/>
        </w:rPr>
      </w:pPr>
      <w:r w:rsidRPr="00423BC7">
        <w:rPr>
          <w:szCs w:val="23"/>
        </w:rPr>
        <w:t>The reserve officer training corps;</w:t>
      </w:r>
    </w:p>
    <w:p w14:paraId="2245A1B6" w14:textId="5ACE4691" w:rsidR="00423BC7" w:rsidRDefault="00423BC7" w:rsidP="00423BC7">
      <w:pPr>
        <w:pStyle w:val="NormalWeb"/>
        <w:numPr>
          <w:ilvl w:val="1"/>
          <w:numId w:val="3"/>
        </w:numPr>
        <w:shd w:val="clear" w:color="auto" w:fill="FFFFFF"/>
        <w:rPr>
          <w:szCs w:val="23"/>
        </w:rPr>
      </w:pPr>
      <w:r w:rsidRPr="00423BC7">
        <w:rPr>
          <w:szCs w:val="23"/>
        </w:rPr>
        <w:t>The college credit plus program established under Chapter 3365. of the Revised Code;</w:t>
      </w:r>
    </w:p>
    <w:p w14:paraId="3675FDDF" w14:textId="5E79A59C" w:rsidR="009D528D" w:rsidRPr="00423BC7" w:rsidRDefault="009D528D" w:rsidP="00423BC7">
      <w:pPr>
        <w:pStyle w:val="NormalWeb"/>
        <w:numPr>
          <w:ilvl w:val="1"/>
          <w:numId w:val="3"/>
        </w:numPr>
        <w:shd w:val="clear" w:color="auto" w:fill="FFFFFF"/>
        <w:rPr>
          <w:szCs w:val="23"/>
        </w:rPr>
      </w:pPr>
      <w:r>
        <w:rPr>
          <w:szCs w:val="23"/>
        </w:rPr>
        <w:t>Expanding Opportunities for Each Child Non-competitive grant</w:t>
      </w:r>
    </w:p>
    <w:p w14:paraId="64599277" w14:textId="77777777" w:rsidR="00423BC7" w:rsidRPr="00423BC7" w:rsidRDefault="00423BC7" w:rsidP="00423BC7">
      <w:pPr>
        <w:pStyle w:val="NormalWeb"/>
        <w:numPr>
          <w:ilvl w:val="1"/>
          <w:numId w:val="3"/>
        </w:numPr>
        <w:shd w:val="clear" w:color="auto" w:fill="FFFFFF"/>
        <w:rPr>
          <w:szCs w:val="23"/>
        </w:rPr>
      </w:pPr>
      <w:r w:rsidRPr="00423BC7">
        <w:rPr>
          <w:szCs w:val="23"/>
        </w:rPr>
        <w:t>The Ohio guaranteed transfer pathways initiative established under section 3333.168 of the Revised Code;</w:t>
      </w:r>
    </w:p>
    <w:p w14:paraId="5B54C6C8" w14:textId="77777777" w:rsidR="00423BC7" w:rsidRPr="00423BC7" w:rsidRDefault="00423BC7" w:rsidP="00423BC7">
      <w:pPr>
        <w:pStyle w:val="NormalWeb"/>
        <w:numPr>
          <w:ilvl w:val="1"/>
          <w:numId w:val="3"/>
        </w:numPr>
        <w:shd w:val="clear" w:color="auto" w:fill="FFFFFF"/>
        <w:rPr>
          <w:szCs w:val="23"/>
        </w:rPr>
      </w:pPr>
      <w:r w:rsidRPr="00423BC7">
        <w:rPr>
          <w:szCs w:val="23"/>
        </w:rPr>
        <w:t>Joint academic programming or dual enrollment opportunities required under section 3333.168 of the Revised Code.</w:t>
      </w:r>
    </w:p>
    <w:p w14:paraId="3BF0EA31" w14:textId="39461526" w:rsidR="00423BC7" w:rsidRPr="00423BC7" w:rsidRDefault="00423BC7" w:rsidP="00423BC7">
      <w:pPr>
        <w:pStyle w:val="NormalWeb"/>
        <w:shd w:val="clear" w:color="auto" w:fill="FFFFFF"/>
        <w:spacing w:before="0" w:beforeAutospacing="0" w:after="0" w:afterAutospacing="0"/>
        <w:ind w:left="360"/>
        <w:rPr>
          <w:rFonts w:ascii="Segoe UI" w:hAnsi="Segoe UI" w:cs="Segoe UI"/>
          <w:color w:val="242424"/>
          <w:sz w:val="23"/>
          <w:szCs w:val="23"/>
        </w:rPr>
      </w:pPr>
    </w:p>
    <w:p w14:paraId="64C86EF6" w14:textId="77777777" w:rsidR="00383B45" w:rsidRPr="00383B45" w:rsidRDefault="00383B45" w:rsidP="00383B45">
      <w:pPr>
        <w:rPr>
          <w:rFonts w:ascii="Arial" w:hAnsi="Arial" w:cs="Arial"/>
          <w:sz w:val="22"/>
          <w:szCs w:val="22"/>
        </w:rPr>
      </w:pPr>
    </w:p>
    <w:p w14:paraId="093B4798" w14:textId="42365641" w:rsidR="00D7541C" w:rsidRDefault="00D7541C" w:rsidP="000C5533">
      <w:pPr>
        <w:jc w:val="center"/>
        <w:rPr>
          <w:rFonts w:ascii="Arial" w:hAnsi="Arial" w:cs="Arial"/>
          <w:b/>
          <w:sz w:val="16"/>
          <w:szCs w:val="16"/>
        </w:rPr>
      </w:pPr>
    </w:p>
    <w:p w14:paraId="3997D2C1" w14:textId="107D1979" w:rsidR="00D7541C" w:rsidRDefault="00D7541C" w:rsidP="00383B45">
      <w:pPr>
        <w:rPr>
          <w:rFonts w:ascii="Arial" w:hAnsi="Arial" w:cs="Arial"/>
          <w:b/>
          <w:sz w:val="16"/>
          <w:szCs w:val="16"/>
        </w:rPr>
      </w:pPr>
    </w:p>
    <w:p w14:paraId="2A46E4E4" w14:textId="7BD34582" w:rsidR="00D7541C" w:rsidRDefault="00D7541C" w:rsidP="000C5533">
      <w:pPr>
        <w:jc w:val="center"/>
        <w:rPr>
          <w:rFonts w:ascii="Arial" w:hAnsi="Arial" w:cs="Arial"/>
          <w:b/>
          <w:sz w:val="16"/>
          <w:szCs w:val="16"/>
        </w:rPr>
      </w:pPr>
    </w:p>
    <w:p w14:paraId="731E8562" w14:textId="74EFF5DD" w:rsidR="009D528D" w:rsidRDefault="009D528D" w:rsidP="000C5533">
      <w:pPr>
        <w:jc w:val="center"/>
        <w:rPr>
          <w:rFonts w:ascii="Arial" w:hAnsi="Arial" w:cs="Arial"/>
          <w:b/>
          <w:sz w:val="16"/>
          <w:szCs w:val="16"/>
        </w:rPr>
      </w:pPr>
    </w:p>
    <w:p w14:paraId="34B80377" w14:textId="1269C087" w:rsidR="009D528D" w:rsidRDefault="009D528D" w:rsidP="000C5533">
      <w:pPr>
        <w:jc w:val="center"/>
        <w:rPr>
          <w:rFonts w:ascii="Arial" w:hAnsi="Arial" w:cs="Arial"/>
          <w:b/>
          <w:sz w:val="16"/>
          <w:szCs w:val="16"/>
        </w:rPr>
      </w:pPr>
    </w:p>
    <w:p w14:paraId="7E0BBBC7" w14:textId="232FBF1A" w:rsidR="009D528D" w:rsidRDefault="009D528D" w:rsidP="000C5533">
      <w:pPr>
        <w:jc w:val="center"/>
        <w:rPr>
          <w:rFonts w:ascii="Arial" w:hAnsi="Arial" w:cs="Arial"/>
          <w:b/>
          <w:sz w:val="16"/>
          <w:szCs w:val="16"/>
        </w:rPr>
      </w:pPr>
    </w:p>
    <w:p w14:paraId="79C2FB05" w14:textId="4824DFF5" w:rsidR="009D528D" w:rsidRDefault="009D528D" w:rsidP="000C5533">
      <w:pPr>
        <w:jc w:val="center"/>
        <w:rPr>
          <w:rFonts w:ascii="Arial" w:hAnsi="Arial" w:cs="Arial"/>
          <w:b/>
          <w:sz w:val="16"/>
          <w:szCs w:val="16"/>
        </w:rPr>
      </w:pPr>
    </w:p>
    <w:p w14:paraId="49B09EA2" w14:textId="17C28485" w:rsidR="009D528D" w:rsidRDefault="009D528D" w:rsidP="000C5533">
      <w:pPr>
        <w:jc w:val="center"/>
        <w:rPr>
          <w:rFonts w:ascii="Arial" w:hAnsi="Arial" w:cs="Arial"/>
          <w:b/>
          <w:sz w:val="16"/>
          <w:szCs w:val="16"/>
        </w:rPr>
      </w:pPr>
    </w:p>
    <w:p w14:paraId="1C62A9BA" w14:textId="1015FC05" w:rsidR="009D528D" w:rsidRDefault="009D528D" w:rsidP="000C5533">
      <w:pPr>
        <w:jc w:val="center"/>
        <w:rPr>
          <w:rFonts w:ascii="Arial" w:hAnsi="Arial" w:cs="Arial"/>
          <w:b/>
          <w:sz w:val="16"/>
          <w:szCs w:val="16"/>
        </w:rPr>
      </w:pPr>
    </w:p>
    <w:p w14:paraId="36720F2E" w14:textId="50BD1680" w:rsidR="009D528D" w:rsidRDefault="009D528D" w:rsidP="000C5533">
      <w:pPr>
        <w:jc w:val="center"/>
        <w:rPr>
          <w:rFonts w:ascii="Arial" w:hAnsi="Arial" w:cs="Arial"/>
          <w:b/>
          <w:sz w:val="16"/>
          <w:szCs w:val="16"/>
        </w:rPr>
      </w:pPr>
    </w:p>
    <w:p w14:paraId="01150E96" w14:textId="1FDD3B0E" w:rsidR="009D528D" w:rsidRDefault="009D528D" w:rsidP="000C5533">
      <w:pPr>
        <w:jc w:val="center"/>
        <w:rPr>
          <w:rFonts w:ascii="Arial" w:hAnsi="Arial" w:cs="Arial"/>
          <w:b/>
          <w:sz w:val="16"/>
          <w:szCs w:val="16"/>
        </w:rPr>
      </w:pPr>
    </w:p>
    <w:p w14:paraId="052F4229" w14:textId="0109D51C" w:rsidR="009D528D" w:rsidRDefault="009D528D" w:rsidP="000C5533">
      <w:pPr>
        <w:jc w:val="center"/>
        <w:rPr>
          <w:rFonts w:ascii="Arial" w:hAnsi="Arial" w:cs="Arial"/>
          <w:b/>
          <w:sz w:val="16"/>
          <w:szCs w:val="16"/>
        </w:rPr>
      </w:pPr>
    </w:p>
    <w:p w14:paraId="71414376" w14:textId="6FC5F579" w:rsidR="009D528D" w:rsidRDefault="009D528D" w:rsidP="000C5533">
      <w:pPr>
        <w:jc w:val="center"/>
        <w:rPr>
          <w:rFonts w:ascii="Arial" w:hAnsi="Arial" w:cs="Arial"/>
          <w:b/>
          <w:sz w:val="16"/>
          <w:szCs w:val="16"/>
        </w:rPr>
      </w:pPr>
    </w:p>
    <w:p w14:paraId="18670A70" w14:textId="44081852" w:rsidR="009D528D" w:rsidRDefault="009D528D" w:rsidP="000C5533">
      <w:pPr>
        <w:jc w:val="center"/>
        <w:rPr>
          <w:rFonts w:ascii="Arial" w:hAnsi="Arial" w:cs="Arial"/>
          <w:b/>
          <w:sz w:val="16"/>
          <w:szCs w:val="16"/>
        </w:rPr>
      </w:pPr>
    </w:p>
    <w:p w14:paraId="0599CD05" w14:textId="785AFA60" w:rsidR="009D528D" w:rsidRDefault="009D528D" w:rsidP="000C5533">
      <w:pPr>
        <w:jc w:val="center"/>
        <w:rPr>
          <w:rFonts w:ascii="Arial" w:hAnsi="Arial" w:cs="Arial"/>
          <w:b/>
          <w:sz w:val="16"/>
          <w:szCs w:val="16"/>
        </w:rPr>
      </w:pPr>
    </w:p>
    <w:p w14:paraId="5544329B" w14:textId="3456365B" w:rsidR="009D528D" w:rsidRDefault="009D528D" w:rsidP="000C5533">
      <w:pPr>
        <w:jc w:val="center"/>
        <w:rPr>
          <w:rFonts w:ascii="Arial" w:hAnsi="Arial" w:cs="Arial"/>
          <w:b/>
          <w:sz w:val="16"/>
          <w:szCs w:val="16"/>
        </w:rPr>
      </w:pPr>
    </w:p>
    <w:p w14:paraId="6A7016ED" w14:textId="692C6214" w:rsidR="009D528D" w:rsidRDefault="009D528D" w:rsidP="000C5533">
      <w:pPr>
        <w:jc w:val="center"/>
        <w:rPr>
          <w:rFonts w:ascii="Arial" w:hAnsi="Arial" w:cs="Arial"/>
          <w:b/>
          <w:sz w:val="16"/>
          <w:szCs w:val="16"/>
        </w:rPr>
      </w:pPr>
    </w:p>
    <w:p w14:paraId="66BB8D41" w14:textId="4426D759" w:rsidR="009D528D" w:rsidRDefault="009D528D" w:rsidP="000C5533">
      <w:pPr>
        <w:jc w:val="center"/>
        <w:rPr>
          <w:rFonts w:ascii="Arial" w:hAnsi="Arial" w:cs="Arial"/>
          <w:b/>
          <w:sz w:val="16"/>
          <w:szCs w:val="16"/>
        </w:rPr>
      </w:pPr>
    </w:p>
    <w:p w14:paraId="212037EB" w14:textId="6C0DE9E4" w:rsidR="009D528D" w:rsidRDefault="009D528D" w:rsidP="000C5533">
      <w:pPr>
        <w:jc w:val="center"/>
        <w:rPr>
          <w:rFonts w:ascii="Arial" w:hAnsi="Arial" w:cs="Arial"/>
          <w:b/>
          <w:sz w:val="16"/>
          <w:szCs w:val="16"/>
        </w:rPr>
      </w:pPr>
    </w:p>
    <w:p w14:paraId="6CD2C085" w14:textId="6C308F59" w:rsidR="009D528D" w:rsidRDefault="009D528D" w:rsidP="000C5533">
      <w:pPr>
        <w:jc w:val="center"/>
        <w:rPr>
          <w:rFonts w:ascii="Arial" w:hAnsi="Arial" w:cs="Arial"/>
          <w:b/>
          <w:sz w:val="16"/>
          <w:szCs w:val="16"/>
        </w:rPr>
      </w:pPr>
    </w:p>
    <w:p w14:paraId="1DF82BDD" w14:textId="54B791BA" w:rsidR="009D528D" w:rsidRDefault="009D528D" w:rsidP="000C5533">
      <w:pPr>
        <w:jc w:val="center"/>
        <w:rPr>
          <w:rFonts w:ascii="Arial" w:hAnsi="Arial" w:cs="Arial"/>
          <w:b/>
          <w:sz w:val="16"/>
          <w:szCs w:val="16"/>
        </w:rPr>
      </w:pPr>
    </w:p>
    <w:p w14:paraId="215E819C" w14:textId="419F0CDF" w:rsidR="009D528D" w:rsidRDefault="009D528D" w:rsidP="000C5533">
      <w:pPr>
        <w:jc w:val="center"/>
        <w:rPr>
          <w:rFonts w:ascii="Arial" w:hAnsi="Arial" w:cs="Arial"/>
          <w:b/>
          <w:sz w:val="16"/>
          <w:szCs w:val="16"/>
        </w:rPr>
      </w:pPr>
    </w:p>
    <w:p w14:paraId="0DBDA0A1" w14:textId="3EC7FD41" w:rsidR="009D528D" w:rsidRDefault="009D528D" w:rsidP="000C5533">
      <w:pPr>
        <w:jc w:val="center"/>
        <w:rPr>
          <w:rFonts w:ascii="Arial" w:hAnsi="Arial" w:cs="Arial"/>
          <w:b/>
          <w:sz w:val="16"/>
          <w:szCs w:val="16"/>
        </w:rPr>
      </w:pPr>
    </w:p>
    <w:p w14:paraId="194B8C5E" w14:textId="0254BF41" w:rsidR="009D528D" w:rsidRDefault="009D528D" w:rsidP="000C5533">
      <w:pPr>
        <w:jc w:val="center"/>
        <w:rPr>
          <w:rFonts w:ascii="Arial" w:hAnsi="Arial" w:cs="Arial"/>
          <w:b/>
          <w:sz w:val="16"/>
          <w:szCs w:val="16"/>
        </w:rPr>
      </w:pPr>
    </w:p>
    <w:p w14:paraId="0839D092" w14:textId="77777777" w:rsidR="009D528D" w:rsidRPr="006A0A54" w:rsidRDefault="009D528D" w:rsidP="000C5533">
      <w:pPr>
        <w:jc w:val="center"/>
        <w:rPr>
          <w:rFonts w:ascii="Arial" w:hAnsi="Arial" w:cs="Arial"/>
          <w:b/>
          <w:sz w:val="16"/>
          <w:szCs w:val="16"/>
        </w:rPr>
      </w:pPr>
    </w:p>
    <w:sectPr w:rsidR="009D528D" w:rsidRPr="006A0A54" w:rsidSect="00383B45">
      <w:pgSz w:w="12240" w:h="15840"/>
      <w:pgMar w:top="1440" w:right="1080" w:bottom="1440" w:left="108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91BB8" w14:textId="77777777" w:rsidR="00ED68CC" w:rsidRDefault="00ED68CC" w:rsidP="003B2BC4">
      <w:r>
        <w:separator/>
      </w:r>
    </w:p>
  </w:endnote>
  <w:endnote w:type="continuationSeparator" w:id="0">
    <w:p w14:paraId="0581A7F1" w14:textId="77777777" w:rsidR="00ED68CC" w:rsidRDefault="00ED68CC" w:rsidP="003B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D6A19" w14:textId="77777777" w:rsidR="00ED68CC" w:rsidRDefault="00ED68CC" w:rsidP="003B2BC4">
      <w:r>
        <w:separator/>
      </w:r>
    </w:p>
  </w:footnote>
  <w:footnote w:type="continuationSeparator" w:id="0">
    <w:p w14:paraId="6D094E69" w14:textId="77777777" w:rsidR="00ED68CC" w:rsidRDefault="00ED68CC" w:rsidP="003B2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165DD"/>
    <w:multiLevelType w:val="hybridMultilevel"/>
    <w:tmpl w:val="EAB4A050"/>
    <w:lvl w:ilvl="0" w:tplc="DEDEAAE6">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E5E02"/>
    <w:multiLevelType w:val="hybridMultilevel"/>
    <w:tmpl w:val="E2B6DBD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9E74F8"/>
    <w:multiLevelType w:val="hybridMultilevel"/>
    <w:tmpl w:val="140C90BA"/>
    <w:lvl w:ilvl="0" w:tplc="E43464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9E"/>
    <w:rsid w:val="00010542"/>
    <w:rsid w:val="00044792"/>
    <w:rsid w:val="00047165"/>
    <w:rsid w:val="00055013"/>
    <w:rsid w:val="00066DA8"/>
    <w:rsid w:val="000671B3"/>
    <w:rsid w:val="00073C73"/>
    <w:rsid w:val="00082A89"/>
    <w:rsid w:val="00082D4F"/>
    <w:rsid w:val="00097FA6"/>
    <w:rsid w:val="000C4A7B"/>
    <w:rsid w:val="000C5533"/>
    <w:rsid w:val="000E2147"/>
    <w:rsid w:val="00100EB1"/>
    <w:rsid w:val="001067AF"/>
    <w:rsid w:val="00117E87"/>
    <w:rsid w:val="00124967"/>
    <w:rsid w:val="0014022B"/>
    <w:rsid w:val="00172377"/>
    <w:rsid w:val="00180279"/>
    <w:rsid w:val="001961F1"/>
    <w:rsid w:val="001B786A"/>
    <w:rsid w:val="001C58BB"/>
    <w:rsid w:val="001D1B25"/>
    <w:rsid w:val="001D5385"/>
    <w:rsid w:val="001E2D9E"/>
    <w:rsid w:val="001E7F96"/>
    <w:rsid w:val="002430A5"/>
    <w:rsid w:val="00256060"/>
    <w:rsid w:val="00270CBF"/>
    <w:rsid w:val="0027535E"/>
    <w:rsid w:val="00276106"/>
    <w:rsid w:val="00276DE3"/>
    <w:rsid w:val="002A350E"/>
    <w:rsid w:val="002B0A39"/>
    <w:rsid w:val="00323112"/>
    <w:rsid w:val="00336434"/>
    <w:rsid w:val="00383B45"/>
    <w:rsid w:val="00384E43"/>
    <w:rsid w:val="003853F1"/>
    <w:rsid w:val="00396ACC"/>
    <w:rsid w:val="003A07E8"/>
    <w:rsid w:val="003B102A"/>
    <w:rsid w:val="003B2BC4"/>
    <w:rsid w:val="003B2D48"/>
    <w:rsid w:val="003D0275"/>
    <w:rsid w:val="003D4285"/>
    <w:rsid w:val="003D4562"/>
    <w:rsid w:val="003E0716"/>
    <w:rsid w:val="00423BC7"/>
    <w:rsid w:val="00486FB2"/>
    <w:rsid w:val="004A1AF1"/>
    <w:rsid w:val="004C4182"/>
    <w:rsid w:val="004C7637"/>
    <w:rsid w:val="004D2D22"/>
    <w:rsid w:val="004D7A2C"/>
    <w:rsid w:val="004F05F8"/>
    <w:rsid w:val="00522CF6"/>
    <w:rsid w:val="00531C63"/>
    <w:rsid w:val="00555FE2"/>
    <w:rsid w:val="005716D4"/>
    <w:rsid w:val="005B2767"/>
    <w:rsid w:val="005C6544"/>
    <w:rsid w:val="005D392D"/>
    <w:rsid w:val="005E1F35"/>
    <w:rsid w:val="005E52EA"/>
    <w:rsid w:val="005E6D98"/>
    <w:rsid w:val="005E796B"/>
    <w:rsid w:val="0060178E"/>
    <w:rsid w:val="0062023E"/>
    <w:rsid w:val="006243AD"/>
    <w:rsid w:val="00630329"/>
    <w:rsid w:val="00636163"/>
    <w:rsid w:val="00651ADD"/>
    <w:rsid w:val="00653372"/>
    <w:rsid w:val="0067126E"/>
    <w:rsid w:val="00683ABE"/>
    <w:rsid w:val="006A0A54"/>
    <w:rsid w:val="006B027D"/>
    <w:rsid w:val="006B118F"/>
    <w:rsid w:val="006D46D0"/>
    <w:rsid w:val="006D659F"/>
    <w:rsid w:val="006F12E3"/>
    <w:rsid w:val="006F3E7A"/>
    <w:rsid w:val="007034F9"/>
    <w:rsid w:val="007167F4"/>
    <w:rsid w:val="007278D0"/>
    <w:rsid w:val="00760A67"/>
    <w:rsid w:val="00765D71"/>
    <w:rsid w:val="007773FD"/>
    <w:rsid w:val="0078458B"/>
    <w:rsid w:val="0078774D"/>
    <w:rsid w:val="007923E4"/>
    <w:rsid w:val="008546C6"/>
    <w:rsid w:val="0086669E"/>
    <w:rsid w:val="008804F4"/>
    <w:rsid w:val="008B38A2"/>
    <w:rsid w:val="008D5333"/>
    <w:rsid w:val="00904637"/>
    <w:rsid w:val="009063D3"/>
    <w:rsid w:val="0091650F"/>
    <w:rsid w:val="00977F6F"/>
    <w:rsid w:val="009B3C89"/>
    <w:rsid w:val="009C61EB"/>
    <w:rsid w:val="009C702F"/>
    <w:rsid w:val="009D528D"/>
    <w:rsid w:val="00A26F0A"/>
    <w:rsid w:val="00A37245"/>
    <w:rsid w:val="00A40816"/>
    <w:rsid w:val="00A439AE"/>
    <w:rsid w:val="00A70025"/>
    <w:rsid w:val="00A71DFD"/>
    <w:rsid w:val="00A7337B"/>
    <w:rsid w:val="00A77819"/>
    <w:rsid w:val="00A87765"/>
    <w:rsid w:val="00A905BF"/>
    <w:rsid w:val="00AA0842"/>
    <w:rsid w:val="00AB124C"/>
    <w:rsid w:val="00AC47F1"/>
    <w:rsid w:val="00AD47F3"/>
    <w:rsid w:val="00B001BC"/>
    <w:rsid w:val="00B32708"/>
    <w:rsid w:val="00B370E0"/>
    <w:rsid w:val="00B42972"/>
    <w:rsid w:val="00B56F0F"/>
    <w:rsid w:val="00B92514"/>
    <w:rsid w:val="00C16A6D"/>
    <w:rsid w:val="00C40667"/>
    <w:rsid w:val="00C67900"/>
    <w:rsid w:val="00C67FEA"/>
    <w:rsid w:val="00C807C1"/>
    <w:rsid w:val="00C8577B"/>
    <w:rsid w:val="00CE693E"/>
    <w:rsid w:val="00CF6B12"/>
    <w:rsid w:val="00D01782"/>
    <w:rsid w:val="00D02655"/>
    <w:rsid w:val="00D33700"/>
    <w:rsid w:val="00D56866"/>
    <w:rsid w:val="00D64D1A"/>
    <w:rsid w:val="00D73242"/>
    <w:rsid w:val="00D7541C"/>
    <w:rsid w:val="00DA44D1"/>
    <w:rsid w:val="00DB5A93"/>
    <w:rsid w:val="00DF59B6"/>
    <w:rsid w:val="00E11293"/>
    <w:rsid w:val="00E13C72"/>
    <w:rsid w:val="00E656C0"/>
    <w:rsid w:val="00E7065E"/>
    <w:rsid w:val="00E90B83"/>
    <w:rsid w:val="00EB64AA"/>
    <w:rsid w:val="00ED68CC"/>
    <w:rsid w:val="00EF1330"/>
    <w:rsid w:val="00F12A52"/>
    <w:rsid w:val="00F33599"/>
    <w:rsid w:val="00F52E27"/>
    <w:rsid w:val="00F82838"/>
    <w:rsid w:val="00FA7C88"/>
    <w:rsid w:val="00FB3838"/>
    <w:rsid w:val="00FC6E87"/>
    <w:rsid w:val="00FE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B445C9"/>
  <w15:docId w15:val="{4923CE9A-52A8-4DA2-886D-13651544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F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59B6"/>
    <w:rPr>
      <w:rFonts w:ascii="Tahoma" w:hAnsi="Tahoma" w:cs="Tahoma"/>
      <w:sz w:val="16"/>
      <w:szCs w:val="16"/>
    </w:rPr>
  </w:style>
  <w:style w:type="paragraph" w:styleId="Header">
    <w:name w:val="header"/>
    <w:basedOn w:val="Normal"/>
    <w:link w:val="HeaderChar"/>
    <w:rsid w:val="003B2BC4"/>
    <w:pPr>
      <w:tabs>
        <w:tab w:val="center" w:pos="4680"/>
        <w:tab w:val="right" w:pos="9360"/>
      </w:tabs>
    </w:pPr>
  </w:style>
  <w:style w:type="character" w:customStyle="1" w:styleId="HeaderChar">
    <w:name w:val="Header Char"/>
    <w:link w:val="Header"/>
    <w:rsid w:val="003B2BC4"/>
    <w:rPr>
      <w:sz w:val="24"/>
      <w:szCs w:val="24"/>
    </w:rPr>
  </w:style>
  <w:style w:type="paragraph" w:styleId="Footer">
    <w:name w:val="footer"/>
    <w:basedOn w:val="Normal"/>
    <w:link w:val="FooterChar"/>
    <w:rsid w:val="003B2BC4"/>
    <w:pPr>
      <w:tabs>
        <w:tab w:val="center" w:pos="4680"/>
        <w:tab w:val="right" w:pos="9360"/>
      </w:tabs>
    </w:pPr>
  </w:style>
  <w:style w:type="character" w:customStyle="1" w:styleId="FooterChar">
    <w:name w:val="Footer Char"/>
    <w:link w:val="Footer"/>
    <w:rsid w:val="003B2BC4"/>
    <w:rPr>
      <w:sz w:val="24"/>
      <w:szCs w:val="24"/>
    </w:rPr>
  </w:style>
  <w:style w:type="paragraph" w:styleId="NormalWeb">
    <w:name w:val="Normal (Web)"/>
    <w:basedOn w:val="Normal"/>
    <w:uiPriority w:val="99"/>
    <w:unhideWhenUsed/>
    <w:rsid w:val="00D02655"/>
    <w:pPr>
      <w:spacing w:before="100" w:beforeAutospacing="1" w:after="100" w:afterAutospacing="1"/>
    </w:pPr>
  </w:style>
  <w:style w:type="paragraph" w:styleId="ListParagraph">
    <w:name w:val="List Paragraph"/>
    <w:basedOn w:val="Normal"/>
    <w:uiPriority w:val="34"/>
    <w:qFormat/>
    <w:rsid w:val="00C16A6D"/>
    <w:pPr>
      <w:ind w:left="720"/>
      <w:contextualSpacing/>
    </w:pPr>
  </w:style>
  <w:style w:type="paragraph" w:customStyle="1" w:styleId="xelementtoproof">
    <w:name w:val="x_elementtoproof"/>
    <w:basedOn w:val="Normal"/>
    <w:rsid w:val="00423BC7"/>
    <w:pPr>
      <w:spacing w:before="100" w:beforeAutospacing="1" w:after="100" w:afterAutospacing="1"/>
    </w:pPr>
  </w:style>
  <w:style w:type="character" w:styleId="Hyperlink">
    <w:name w:val="Hyperlink"/>
    <w:basedOn w:val="DefaultParagraphFont"/>
    <w:uiPriority w:val="99"/>
    <w:semiHidden/>
    <w:unhideWhenUsed/>
    <w:rsid w:val="00423B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75633">
      <w:bodyDiv w:val="1"/>
      <w:marLeft w:val="0"/>
      <w:marRight w:val="0"/>
      <w:marTop w:val="0"/>
      <w:marBottom w:val="0"/>
      <w:divBdr>
        <w:top w:val="none" w:sz="0" w:space="0" w:color="auto"/>
        <w:left w:val="none" w:sz="0" w:space="0" w:color="auto"/>
        <w:bottom w:val="none" w:sz="0" w:space="0" w:color="auto"/>
        <w:right w:val="none" w:sz="0" w:space="0" w:color="auto"/>
      </w:divBdr>
    </w:div>
    <w:div w:id="535041149">
      <w:bodyDiv w:val="1"/>
      <w:marLeft w:val="0"/>
      <w:marRight w:val="0"/>
      <w:marTop w:val="0"/>
      <w:marBottom w:val="0"/>
      <w:divBdr>
        <w:top w:val="none" w:sz="0" w:space="0" w:color="auto"/>
        <w:left w:val="none" w:sz="0" w:space="0" w:color="auto"/>
        <w:bottom w:val="none" w:sz="0" w:space="0" w:color="auto"/>
        <w:right w:val="none" w:sz="0" w:space="0" w:color="auto"/>
      </w:divBdr>
      <w:divsChild>
        <w:div w:id="1727145884">
          <w:marLeft w:val="0"/>
          <w:marRight w:val="0"/>
          <w:marTop w:val="0"/>
          <w:marBottom w:val="0"/>
          <w:divBdr>
            <w:top w:val="none" w:sz="0" w:space="0" w:color="auto"/>
            <w:left w:val="none" w:sz="0" w:space="0" w:color="auto"/>
            <w:bottom w:val="none" w:sz="0" w:space="0" w:color="auto"/>
            <w:right w:val="none" w:sz="0" w:space="0" w:color="auto"/>
          </w:divBdr>
        </w:div>
      </w:divsChild>
    </w:div>
    <w:div w:id="1462185908">
      <w:bodyDiv w:val="1"/>
      <w:marLeft w:val="0"/>
      <w:marRight w:val="0"/>
      <w:marTop w:val="0"/>
      <w:marBottom w:val="0"/>
      <w:divBdr>
        <w:top w:val="none" w:sz="0" w:space="0" w:color="auto"/>
        <w:left w:val="none" w:sz="0" w:space="0" w:color="auto"/>
        <w:bottom w:val="none" w:sz="0" w:space="0" w:color="auto"/>
        <w:right w:val="none" w:sz="0" w:space="0" w:color="auto"/>
      </w:divBdr>
    </w:div>
    <w:div w:id="15863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igler\Local%20Settings\Temporary%20Internet%20Files\OLK485\PR_SchoolBoar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PR_SchoolBoard_Template</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May 24, 2007</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24, 2007</dc:title>
  <dc:creator>Ron Heinlein</dc:creator>
  <cp:lastModifiedBy>Nichols Steven</cp:lastModifiedBy>
  <cp:revision>2</cp:revision>
  <cp:lastPrinted>2024-03-18T15:45:00Z</cp:lastPrinted>
  <dcterms:created xsi:type="dcterms:W3CDTF">2024-09-11T14:01:00Z</dcterms:created>
  <dcterms:modified xsi:type="dcterms:W3CDTF">2024-09-11T14:01:00Z</dcterms:modified>
</cp:coreProperties>
</file>